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VELEZ GUZMAN,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13553576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VOLCÁN POPOCATÉPETL #5425 INTERIOR 10, FRACC. EL COLLI URBANO 1A. SECCIÓN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VEGM870327UJ3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VEGM870327MASLZR08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VELEZ GUZMAN,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SEMIÓTICO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SEMIÓTICO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