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VALDIVIA BOJORQUEZ HECTOR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MEDIOS AUDIOVISUALES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HDA HUESCALAPA 1669 OBLATOS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44700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VABH880731HJCLJC03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VABH8807318R7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MEDIOS AUDIOVISUALES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25 DE JULIO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22 DE AGOSTO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MEDIOS AUDIOVISUALES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25 DE JULIO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VALDIVIA BOJORQUEZ HECTOR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