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TROYO ALATORRE, CAROLINA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8224203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 ALDOUS HUXLEY 5167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TOAC761113HH9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TOAC761113MDFRLR04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09 de Enero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Abril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Enero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TROYO ALATORRE, CAROLINA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PROBLEMAS CONTEMPORANEOS DE LA EDUC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IDENTIDAD  Y VINCULACIÓN PROFESIONAL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IDENTIDAD  Y VINCULACIÓN PROFESIONAL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PEDAGOGIA E INNOVACION EDUCATIVA ESCOLARIZADA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PROBLEMAS CONTEMPORANEOS DE LA EDUC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2023-01-09 - 2023-07-25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