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EAL, RODRIGO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75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ZUL COBALTO 274 13-1 LOS CANTAR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603074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R860307HJCR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EAL, RODRIGO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