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UNIVERSIDAD CUAUHTEMOC PLANTEL GUADALAJARA SC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Alfonso Alejandro Romero Fraustro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SOLORZANO RENTERIA,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Av. Del Bajío 5901, El Bajío, 45019 Zapopan, Jal.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1861865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BOULEVAR VALLE DEL SILICIO 130 INT.189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SORR631023AW6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SORR631023HJCLNC09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Jalisco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Guadalajara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Jalisco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Zapopan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Jalisco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Alfonso Alejandro Romero Fraustro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UNIVERSIDAD CUAUHTEMOC PLANTEL GUADALAJARA SC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SOLORZANO RENTERIA,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LICENCIATURA EN ADMINISTRACIÓN Y MERCADOTECNIA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2024-09-01 - 2024-12-13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