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MARTINEZ,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SAMO000709RY0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SAMO000709HMNNRSA1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MARTINEZ,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