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FRAUSTO ALFONSO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PEDRO SIMON LAPLACE No.4313 ARBOLEDA</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ROFA711126HDFMRL01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ROFA711126ET6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NOVENTA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FRAUSTO ALFONSO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