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ROMAN MALDONADO, YVONNE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CLEMENTE OROZCO 416 COL.SANTA TERESITA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ROMY920325Q2A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ROMY920325MPLMLV00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ROMAN MALDONADO, YVONNE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 EN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