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GONZALEZ, ANA GEORG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24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Luna 500 Residencial Elite Solares 45019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A760306ER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GA760306MDFDNN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GONZALEZ, ANA GEORG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