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RIOS CORDERO, JUAN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8331372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DEL ALVA 1192 61 ALVA RESD PASEO ALBORADA VALLE IMPERIAL C.P. 45134 ZAPOPAN,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RICJ8605197P0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RICJ860519HPLSRN15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Noviembre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RIOS CORDERO, JUAN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CARTOGRAFIA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CONSTRUCCION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CONTROL DE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LEGISLACION Y NORMATIVIDAD EN OBRAS CIVILES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CARTOGRAFIA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LEGISLACION Y NORMATIVIDAD EN OBRAS CIVILES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CONSTRUCCION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