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GONGORA, FRANCISCO AGUSTIN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3826114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LOS CEDROS 2776 COL. JARDINES DEL VALLE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RAGF630604EM8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RAGF630604HJCMNR03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GONGORA, FRANCISCO AGUSTIN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PERIODÍSTICOS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LINGUISTICO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