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PICHARDO LUCATERO,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1134308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GUACAMAYA 2072,  MARCELINO GARCIA BARRAGAN, ZAPOPA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PILF640121H24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PILF640121HDFCCR00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PICHARDO LUCATERO,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APLICADA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