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PICHARDO LUCATERO,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1134308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GUACAMAYA 2072,  MARCELINO GARCIA BARRAGAN, ZAPOPA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PILF640121H24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PILF640121HDFCCR00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PICHARDO LUCATERO,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FIJACION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FIJACION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DE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