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HILIPPE NP, WIT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FUENTE ESTELAR 14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WI860819AY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XW860819HNEHXT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ILIPPE NP, WIT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