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PEREZ HARARI EZRA RAUL</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SUBDIRECCIÓN DE ODONTOLOGÍA Y POSGRADOS</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31</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HECTOR BERLIOZ #4900-8 PRADOS GUADALUPE</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45030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PEHEHJCRRZ06891208</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PEHE891208C62</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SUBDIRECCIÓN DE ODONTOLOGÍA Y POSGRADOS</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24 DE SEPTIEMBRE DEL 2021</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22 DE OCTUBRE DEL 2021</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SUBDIRECCIÓN DE ODONTOLOGÍA Y POSGRADOS</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HORARIO NO REGISTRADO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$ 18,000.00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DIECIOCHO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24 DE SEPTIEMBRE DEL 2021</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PEREZ HARARI EZRA RAUL.</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