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PEREA RODRIGUEZ VICTOR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CUARZO 2356 D 403 BOSQUES DE LA VICTORIA</w:t>
      </w:r>
      <w:r w:rsidR="003F6EA4">
        <w:rPr>
          <w:rFonts w:ascii="Century Gothic" w:hAnsi="Century Gothic"/>
          <w:b/>
          <w:color w:val="1F497D" w:themeColor="text2"/>
          <w:sz w:val="22"/>
          <w:szCs w:val="22"/>
        </w:rPr>
        <w:t xml:space="preserve"> PUEBLA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44540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PERV880514HPLRDC07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PERV880514PA0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PEREA RODRIGUEZ VICTOR.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