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PELAYO GONZALEZ,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10015532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TEPEYAC 4850 - 101 COL PRADOS TEPEYAC CP45050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PEGG850207CJA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PEGG850207MJCLNB05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PELAYO GONZALEZ,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Electricidad y magnetismo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Electricidad y magnetismo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