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CONTRERAS,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RACD800220PT1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RACD800220HJCRRL09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CONTRERAS,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 Y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 Y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