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GONZALEZ CRISTINA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CLINICA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1RA CERRADA DE OLMO 132 LA PURISIMA RESIDENCIAL</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OIGC930319MMCRNR01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OIGC930319EF5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CLINICA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CLINICA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GONZALEZ CRISTINA.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