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Julio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2024-05-24 - 2024-05-24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2024-05-17 - 2024-05-17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2024-07-12 - 2024-07-12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2024-02-23 - 2024-02-23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2024-04-05 - 2024-04-05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2024-03-15 - 2024-03-15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2024-03-01 - 2024-03-01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2024-05-31 - 2024-05-31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2024-05-10 - 2024-05-10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2024-06-14 - 2024-06-14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2024-04-19 - 2024-04-19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2024-03-08 - 2024-03-08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2024-04-13 - 2024-04-13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2024-03-23 - 2024-03-23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CIRUGÍA 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INMUNOLOGIA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2024-03-02 - 2024-03-02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2024-03-09 - 2024-03-09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2024-04-06 - 2024-04-06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2024-03-16 - 2024-03-16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LA EVIDENCIA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2024-02-24 - 2024-02-24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2024-07-13 - 2024-07-13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2024-06-29 - 2024-06-29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2024-06-15 - 2024-06-15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2024-06-01 - 2024-06-01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