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FIJACION DE PRECIOS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