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ORTIZ ARRIAZOLA HECTOR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LAS LICENCIATURAS EJECUTIVAS Y POSGRADOS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BAHIA DE ACAPULCO #3127 INT.54 PARQUES DEL BOSQUE IV</w:t>
      </w:r>
      <w:r w:rsidR="003F6EA4">
        <w:rPr>
          <w:rFonts w:ascii="Century Gothic" w:hAnsi="Century Gothic"/>
          <w:b/>
          <w:color w:val="1F497D" w:themeColor="text2"/>
          <w:sz w:val="22"/>
          <w:szCs w:val="22"/>
        </w:rPr>
        <w:t xml:space="preserve"> 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45090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OIAH811005HDFRRC02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OIAH8110051L6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LAS LICENCIATURAS EJECUTIVAS Y POSGRADOS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FEBRERO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MARZO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LAS LICENCIATURAS EJECUTIVAS Y POSGRADOS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JUEVES Y 13:00 A 21:00 HORAS DE VIERNES Y 01:00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FEBRERO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ORTIZ ARRIAZOLA HECTOR.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