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NUÑO LOPEZ ISMAEL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5 DE MAYO 23 CONSTELACION EL BRISEÑO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NULI970618HJCXPS06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NULI970618V33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NUÑO LOPEZ ISMAEL.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