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OCHOA, VICTOR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12414622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MILPAS 17 LOS OLIVOS II SAN SEBASTIANITO, 4560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MUOV8109263X9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MUOV810926HJCXCC04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OCHOA, VICTOR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PROGRAMACIÒN EN ENSAMBLADOR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ENSAMBLADOR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LAS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