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MONTES ARECHIGA, PALOMA CYTLALI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SAN PEDRO #28 COL.GUADALUPE SUR.45030 ZAP,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MOAP970801HR2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MOAP970801MJCNRL04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MONTES ARECHIGA, PALOMA CYTLALI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