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MERCADO SANCHEZ MARIA DEL CARMEN</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AUX. CONTROL ESCOLAR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56</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PRIV BONSAI 20 VICENTE GUERRERO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45134</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MESC671113MJCRNR00</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MESC671113CB9</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AUX. CONTROL ESCOLAR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06 DE NOVIEMBRE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04 DE DICIEMBRE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AUX. CONTROL ESCOLAR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06 DE NOVIEMBRE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MERCADO SANCHEZ MARIA DEL CARMEN.</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