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MARISCAL CASTAÑEDA, FAITH MILDRETH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MACF860903DG1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MACF860903MJCRST04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MARISCAL CASTAÑEDA, FAITH MILDRETH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MATEMATICO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MATEMATICO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MATEMATICO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