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MACIAS HERRERA, VERONICA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8851562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PASEOS UNIVERSIDAD 134, COL PASEOS UNIVERSIDAD, 45016, ZAPOPAN, JALISCO, MÉXICO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MAAM8805307Y4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MAHV721102MGRCRR05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16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MACIAS HERRERA, VERONICA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PEDAGOGIA E INNOVACION EDUCATIVA ESCOLARIZADA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Y EDUCACIÓN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PEDAGOGIA E INNOVACION EDUCATIVA ESCOLARIZADA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Y EDUCACIÓN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DISEÑO GRAFICO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TEORIA DE LA PERCEPCION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PEDAGOGIA E INNOVACION EDUCATIVA ESCOLARIZADA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Y EDUCACIÓN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PEDAGOGIA E INNOVACION EDUCATIVA ESCOLARIZADA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Y EDUCACIÓN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COMPORTAMIENTO Y CULTURA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PEDAGOGIA E INNOVACION EDUCATIVA ESCOLARIZADA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Y EDUCACIÓN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INGENIERIA INDUSTRIAL (EST 2021)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INDUSTRIAL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PEDAGOGIA E INNOVACION EDUCATIVA ESCOLARIZADA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LEGISLACIÓN Y POLÍTICA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PEDAGOGIA E INNOVACION EDUCATIVA ESCOLARIZADA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EDUCACIÓN INDIGENA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PEDAGOGIA E INNOVACION EDUCATIVA ESCOLARIZADA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Y EDUCACIÓN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INGENIERIA INDUSTRIAL (EST 2021)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INDUSTRIAL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