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LILLO PIZARRO, MAURICIO.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LILLO PIZARRO, MAURICIO.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CHILENO.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1975-10-27</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LIPM751027HNELZR08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LIPM751027REA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44976543243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Nobleza #1520, Colonia San Wenceslao, Zapopan, Jalisco, México.
C.P: 45110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2022-05-10 - 2022-09-20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2022-05-10 - 2022-09-20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