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LAVADOS ZAVALLA PAUL MITCHEL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CLINICA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CHILENA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ADMINISTRADORES 5480 ARCOS DE GUADALUPE</w:t>
      </w:r>
      <w:r w:rsidR="003F6EA4">
        <w:rPr>
          <w:rFonts w:ascii="Century Gothic" w:hAnsi="Century Gothic"/>
          <w:b/>
          <w:color w:val="1F497D" w:themeColor="text2"/>
          <w:sz w:val="22"/>
          <w:szCs w:val="22"/>
        </w:rPr>
        <w:t xml:space="preserve"> REGION METROPOLITANA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LAZP821024HNEVVL08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LAZP821024Q97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CLINICA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CLINICA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21:00 HORAS DE LUNES A VIERNES Y 09:00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LAVADOS ZAVALLA PAUL MITCHEL.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