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JIMENEZ RETOLAZA, JUAN PABLO.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JIMENEZ RETOLAZA, JUAN PABLO.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1973-09-17</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JIRJ730917HJCMTN18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JIRJ7309175D1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49177356281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Pirámide del sol 4163. Col piramides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2022-08-01.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2022-12-25</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jpjimenezretolaza@ucgdl.edu.mx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FUTBOL VARONIL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FUTBOL VARONIL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FUTBOL VARONIL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FUTBOL VARONIL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12:40:00 - 14:20:00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FUTBOL VARONIL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FUTBOL VARONIL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FUTBOL VARONIL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11:50:00 - 13:30:00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FUTBOL VARONIL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CIENCIAS DEL DEPORTE</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JIMENEZ RETOLAZA, JUAN PABLO.</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