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INZUNZA GAXIOLA CLAUDIA IVETTE</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DIRECTORA BACHILLERATO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50</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Divorciado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RET DEL RENO SUR 3289 CIUDAD BUGAMBILIAS</w:t>
      </w:r>
      <w:r w:rsidR="003F6EA4">
        <w:rPr>
          <w:rFonts w:ascii="Century Gothic" w:hAnsi="Century Gothic"/>
          <w:b/>
          <w:color w:val="1F497D" w:themeColor="text2"/>
          <w:sz w:val="22"/>
          <w:szCs w:val="22"/>
        </w:rPr>
        <w:t xml:space="preserve"> SINALOA</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45237</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IUGC730815MSLNXL04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IUGC730815KE5</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DIRECTORA BACHILLERATO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06 DE OCTUBRE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03 DE NOVIEMBRE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DIRECTORA BACHILLERATO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$ 25,000.00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VEINTICINCO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06 DE OCTUBRE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INZUNZA GAXIOLA CLAUDIA IVETTE.</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