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HERNANDEZ MOLINA DIEGO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TIEMPO COMPLETO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HERIBERTO M. AJA 1227 ECHEVERRIA</w:t>
      </w:r>
      <w:r w:rsidR="003F6EA4">
        <w:rPr>
          <w:rFonts w:ascii="Century Gothic" w:hAnsi="Century Gothic"/>
          <w:b/>
          <w:color w:val="1F497D" w:themeColor="text2"/>
          <w:sz w:val="22"/>
          <w:szCs w:val="22"/>
        </w:rPr>
        <w:t xml:space="preserve"> TABASCO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HEMD890103HTCRLG02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HEMD890103TD6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TIEMPO COMPLETO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TIEMPO COMPLETO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HERNANDEZ MOLINA DIEGO.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