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HERNANDEZ AQUILEO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SANTA ROSA #345 SANTA MARGARITA</w:t>
      </w:r>
      <w:r w:rsidR="003F6EA4">
        <w:rPr>
          <w:rFonts w:ascii="Century Gothic" w:hAnsi="Century Gothic"/>
          <w:b/>
          <w:color w:val="1F497D" w:themeColor="text2"/>
          <w:sz w:val="22"/>
          <w:szCs w:val="22"/>
        </w:rPr>
        <w:t xml:space="preserve"> HIDALGO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HEHA010512HHGRRQA4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HEHA010512A96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13:00 HORAS DE LUNES A VIERNES Y 06:00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HERNANDEZ AQUILEO.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