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GUZMAN, ADRIEL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BLVR. EK RODEO 155 123 COL. LOS ABETOS CP 45130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HEGA8207268T0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HEGA820726HVZRZD02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GUZMAN, ADRIEL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