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GUTIERREZ RIVERA, PAVEL ENRIQUE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5861407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PERIFERICO NORTE 135 COL. AUDITORIO, ZAPOPAN,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GURP840816ND6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GURP840816HGTTVV09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Febrero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18 de Julio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Marzo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GUTIERREZ RIVERA, PAVEL ENRIQUE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 Y BIENESTAR ANIMAL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 Y BIENESTAR ANIMAL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 Y BIENESTAR ANIMAL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