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JIMENEZ, EDGAR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ONTARIO 924 INT. 412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GUJE8907164S7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GUJE890716HJCTMD03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JIMENEZ, EDGAR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PÁGINAS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PÁGINAS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 2024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PÁGINAS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