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GONZALEZ RUBIO ANGEL ESTEBAN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PROMOTOR LINEA EJECUTIVA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PASEO LOMAS ALTAS #4777 LOMAS ALTAS</w:t>
      </w:r>
      <w:r w:rsidR="003F6EA4">
        <w:rPr>
          <w:rFonts w:ascii="Century Gothic" w:hAnsi="Century Gothic"/>
          <w:b/>
          <w:color w:val="1F497D" w:themeColor="text2"/>
          <w:sz w:val="22"/>
          <w:szCs w:val="22"/>
        </w:rPr>
        <w:t xml:space="preserve"> CHIHUAHUA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45128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GORA880728HCHNBN04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GORA880728MY4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PROMOTOR LINEA EJECUTIVA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NOVIEMBRE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06 DE DICIEMBRE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PROMOTOR LINEA EJECUTIVA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NOVIEMBRE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GONZALEZ RUBIO ANGEL ESTEBAN.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