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ESTRADA, JOSE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GAEI910212PC2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GAEI910212HJCRSG04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ESTRADA, JOSE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