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GONZALES, JORGE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PEJ344547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FOGJ9109127H6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FOGJ910912HJCLNR06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GONZALES, JORGE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DEPORTIVA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DEPORTIVA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DEPORTIVA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DEPORTIVA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ESPECIALIDAD EN TÉCNICAS MANUALES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TERAPIA MANUAL EN RODILLA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