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ALFONSO ALEJANDRO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ESCOBAR HERNANDEZ, LUIS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SISTEMA EJECUTIVO,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4769466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PASEO REINA VICTORIA #12 COL. VIRREY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POR DEFINIR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EOHL670306NG1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EOHL670306HDFSRS03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Mayo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Agosto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25  de  Mayo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ALFONSO ALEJANDRO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ESCOBAR HERNANDEZ, LUIS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INGENIERIA EN SISTEMAS COMPUTACIONALES 2005 est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REDES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INGENIERIA EN SISTEMAS COMPUTACIONALES 2005 est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ELECTRÓNICA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INGENIERIA EN SISTEMAS COMPUTACIONALES 2005 est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REDES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INGENIERÍA CIVIL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MÉTODOS NUMÉRICOS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INGENIERIA EN SISTEMAS COMPUTACIONALES 2005 est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ELECTRÓNICA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INGENIERIA EN SISTEMAS COMPUTACIONALES 2005 est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MÉTODOS NUMERICOS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INGENIERÍA EN SISTEMAS COMPUTACIONALES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ELECTRÓNICA DIGITAL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INGENIERÍA PARA EL DISEÑO Y DESARROLLO DE SOFTWARE MIXTA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PROGRAMACIÓN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INGENIERÍA EN SISTEMAS COMPUTACIONALES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ROBÓTICA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INGENIERÍA EN SISTEMAS COMPUTACIONALES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PROGRAMACIÓN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