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CHANAMPE GUEVARA, RODRIGO MANOEL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9732651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CAGR801027556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CAGR801027HDFHVD10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CHANAMPE GUEVARA, RODRIGO MANOEL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Y TÉCNICAS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LINGUISTICO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