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CERDA GUERRERO, CLAUDIA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PUERTO ENSENADA 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CEGC880718NZ3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CEGC880718MJCRRL09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CERDA GUERRERO, CLAUDIA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HOSPITALARIAS 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HOSPITALARIAS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