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CANIZALES SOTO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SERVICIOS ESTUDIANTILES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FERNANDEZ DE LARA 4353 VILLA HERMOSA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CASB820910MDFNTT06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CASB820910T98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SERVICIOS ESTUDIANTILES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SERVICIOS ESTUDIANTILES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CANIZALES SOTO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