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BRACHO VALDÉS ISMAEL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INVESTIGADOR DE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MEXICANA/CUBANA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PLATEROS #2282 JARDINES DEL COUNTRY</w:t>
      </w:r>
      <w:r w:rsidR="003F6EA4">
        <w:rPr>
          <w:rFonts w:ascii="Century Gothic" w:hAnsi="Century Gothic"/>
          <w:b/>
          <w:color w:val="1F497D" w:themeColor="text2"/>
          <w:sz w:val="22"/>
          <w:szCs w:val="22"/>
        </w:rPr>
        <w:t xml:space="preserve"> LA HABANA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BAVI760805HNERLS09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BAVI760805LU1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INVESTIGADOR DE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30 DE AGOSTO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27 DE SEPTIEMBRE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INVESTIGADOR DE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VEINTICINCO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30 DE AGOSTO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BRACHO VALDÉS ISMAEL.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