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PLASTICOS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ANÁLISIS SÍSMICO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PLASTICOS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ANÁLISIS SÍSMICO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MECANICA ANALITICA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NEURONALES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