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MARTINEZ, MOISES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ORTIZ 2015 B COL.CENTRO,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MAAM890313RG3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MAAM890313HGTRRS08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MARTINEZ, MOISES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