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LOGISTICA Y DISTRIBUCION FISICA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ELECTRÓNICO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