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#38 -ULLOA LEÑO CARLOS ALBERTO.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#38 -ULLOA LEÑO CARLOS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1986-08-14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UOLC860814HJCLXR01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UOLC860814FH9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4078687375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AMECA, 2531, PARQUE REAL,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culloa@ucgdl.edu.mx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9</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HIDRAULICA DE FLUIDOS Y CANALES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PASOS A DESNIVEL Y PUENTES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Y ANALISIS SISMICO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SISTEMAS E INFRAESTRUCTURA DEL TRANSPORTE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HIDRAULICA DE FLUIDOS Y CANALES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HIDRAULICA DE FLUIDOS Y CANALES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PASOS A DESNIVEL Y PUENTES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Y ANALISIS SISMICO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SISTEMAS E INFRAESTRUCTURA DEL TRANSPORTE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