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DENA GONZALEZ NANCY ELIZABETH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INSTRUCTOR DE CEFICS TM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DENA GONZALEZ NANCY ELIZABETH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